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508</w:t>
      </w:r>
    </w:p>
    <w:p>
      <w:r>
        <w:t>Bundesgericht (BGE), 1968-10-18, DE</w:t>
      </w:r>
    </w:p>
    <w:p>
      <w:r>
        <w:rPr>
          <w:b/>
        </w:rPr>
        <w:t xml:space="preserve">Quelle: </w:t>
      </w:r>
      <w:r>
        <w:t>https://mcp.opencaselaw.ch/entscheid/bge_94 I 508</w:t>
      </w:r>
    </w:p>
    <w:p>
      <w:r>
        <w:t>FR: ATF 94 I 508</w:t>
      </w:r>
    </w:p>
    <w:p>
      <w:r>
        <w:t>IT: DTF 94 I 508</w:t>
      </w:r>
    </w:p>
    <w:p>
      <w:pPr>
        <w:pStyle w:val="Heading2"/>
      </w:pPr>
      <w:r>
        <w:t>Regeste</w:t>
      </w:r>
    </w:p>
    <w:p>
      <w:r>
        <w:t>Regeste Uhrenstatut: Die Verkaufsbeschränkungen, die einer der verstärkten technischen Kontrolle unterstellten Unternehmung der Uhrenindustrie auferlegt sind, gelten auch im Konkurs, der über eine solche Unternehmung eröffnet wird.</w:t>
      </w:r>
    </w:p>
    <w:p>
      <w:pPr>
        <w:pStyle w:val="Heading2"/>
      </w:pPr>
      <w:r>
        <w:t>Erwägungen</w:t>
      </w:r>
    </w:p>
    <w:p>
      <w:r>
        <w:rPr>
          <w:b/>
        </w:rPr>
        <w:t>E. 1</w:t>
      </w:r>
    </w:p>
    <w:p>
      <w:r>
        <w:t>Die im Uhrenstatut vom 23. Juni 1961 vorgeschriebene technische Kontrolle der in der Schweiz hergestellten Uhren und Uhrwerke soll die Qualität dieser Erzeugnisse sicherstellen und den Ruf der schweizerischen Uhrenindustrie im Ausland schützen. Dieser Zweck ergibt sich klar aus dem Text des Gesetzes (Art. 2 Abs. 1 UB) wie auch aus den Gesetzesmaterialien (BBl 1960 II S. 1529 f.). Damit er erreicht wird, muss BGE 94 I 508 S. 511 aber die technische Kontrolle sich auf alle Erzeugnisse auswirken, die ihr nach dem Uhrenstatut unterstellt sind. Dieses trifft deshalb keine Unterscheidung danach, ob die Erzeugnisse von einer aufrecht stehenden Unternehmung der Uhrenindustrie oder von einer Konkursmasse, welche die Aktiven einer Unternehmung der Uhrenindustrie liquidiert, auf den Markt gebracht werden. In beiden Fällen sind nach dem Sinn des Uhrenstatuts die Verkaufsbeschränkungen zu beachten, die in den Vorschriften über die technische Kontrolle vorgesehen sind. Von wem auch immer die Erzeugnisse ungenügender Qualität verkauft werden, so haben sie doch die gleiche Wirkung auf die Käufer. Der Ruf der schweizerischen Uhrenindustrie im Ausland wird auch dann gefährdet, wenn die mangelhafte Ware von einer Konkursmasse veräussert wird. Der ausländische Konsument weiss in der Regel nicht, ob die Schweizer Uhr, die er kauft, von einer aktiven Unternehmung der schweizerischen Uhrenindustrie oder von einer Konkursmasse in Verkehr gebracht worden ist. Zudem würde eine ungerechtfertigte Ungleichheit geschaffen, wenn eine Konkursmasse von den Einschränkungen ausgenommen würde, denen die Unternehmungen der Uhrenindustrie sich unterziehen müssen. Da die César Watch AG im Zeitpunkte der Konkurseröffnung der verstärkten technischen Kontrolle unterworfen war, muss sich somit die Konkursmasse an die Verkaufsbeschränkungen halten, welche die Unterstellung einer Unternehmung der Uhrenindustrie unter diese Kontrollart nach dem Uhrenstatut zur Folge hat. Es ist nicht bestritten, dass das Volkswirtschaftsdepartement diese Beschränkungen in seinem Schreiben vom 30. Januar 1968 und seinem Entscheid vom 26. April 1968 zutreffend umschrieben hat.</w:t>
      </w:r>
    </w:p>
    <w:p>
      <w:r>
        <w:rPr>
          <w:b/>
        </w:rPr>
        <w:t>E. 2</w:t>
      </w:r>
    </w:p>
    <w:p>
      <w:r>
        <w:t>Der Standpunkt der Beschwerdeführerin lässt sich auch nicht auf das Schuldbetreibungs- und Konkursgesetz stützen. Die Konkursmasse kann grundsätzlich über das Vermögen des Gemeinschuldners nicht in einem weiteren Umfang verfügen, als er selber dies vor der Konkurseröffnung tun konnte. Gesetzliche Vorschriften, welche im öffentlichen Interesse die Veräusserung bestimmter Gegenstände verbieten oder beschränken, sind in der Regel auch im Konkurs zu beachten. Ausnahmen können nur gemacht werden, wenn sie durch besondere Anordnung des Gesetzes zugelassen sind (vgl. Art. 218 OR , der in Abs. 2 bestimmt, dass die Sperrfrist des Abs. 1 auf landwirtschaftliche BGE 94 I 508 S. 512 Grundstücke, die im Betreibungs- und Konkursverfahren verwertet werden, nicht anwendbar ist). Wo Ausnahmebestimmungen fehlen, sind gesetzliche Verkaufsbeschränkungen auch im Konkurs massgebend, selbst wenn das Gesetz es nicht ausdrücklich vorschreibt. Das Bundesgericht hat diesen Grundsatz stets angewandt. Es hat festgestellt, dass die Konkursmasse im allgemeinen die Pflichten des Gemeinschuldners zu tragen hat ( BGE 87 II 172 ; BGE 93 III 108 lit. a). Insbesondere hat es die Konkursmasse den Anordnungen der Preiskontrolle unterworfen ( BGE 71 III 181 ), ebenso den Schranken, die sich aus dem BB vom 23. März 1961 über die Bewilligungspflicht für den Erwerb von Grundstücken durch Personen im Ausland ergeben ( BGE 88 III 1 ff., 91; BGE 89 III 81 f.). Dasselbe muss für die Verkaufsbeschränkungen gelten, die das Uhrenstatut einer der verstärkten technischen Kontrolle unterstellten Unternehmung auferlegt. Sie sind auch im Konkurs einzuhalten, der über eine solche Unternehmung eröffnet wird. Das Uhrenstatut kann, wie erwähnt, nicht anders verstanden werden. Entsprechend ist das Schuldbetreibungs- und Konkursgesetz auszulegen.</w:t>
      </w:r>
    </w:p>
    <w:p>
      <w:r>
        <w:rPr>
          <w:b/>
        </w:rPr>
        <w:t>E. 3</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